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pageBreakBefore w:val="0"/>
        <w:widowControl/>
        <w:suppressLineNumbers w:val="0"/>
        <w:pBdr>
          <w:top w:val="none" w:color="auto" w:sz="0" w:space="0"/>
          <w:left w:val="none" w:color="auto" w:sz="0" w:space="0"/>
          <w:bottom w:val="single" w:color="E7E7EB" w:sz="6" w:space="7"/>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ajorEastAsia" w:hAnsiTheme="majorEastAsia" w:eastAsiaTheme="majorEastAsia" w:cstheme="majorEastAsia"/>
          <w:i w:val="0"/>
          <w:caps w:val="0"/>
          <w:color w:val="000000"/>
          <w:spacing w:val="0"/>
          <w:sz w:val="28"/>
          <w:szCs w:val="28"/>
        </w:rPr>
      </w:pPr>
      <w:r>
        <w:rPr>
          <w:rFonts w:hint="eastAsia" w:asciiTheme="majorEastAsia" w:hAnsiTheme="majorEastAsia" w:eastAsiaTheme="majorEastAsia" w:cstheme="majorEastAsia"/>
          <w:i w:val="0"/>
          <w:caps w:val="0"/>
          <w:color w:val="000000"/>
          <w:spacing w:val="0"/>
          <w:sz w:val="28"/>
          <w:szCs w:val="28"/>
          <w:bdr w:val="none" w:color="auto" w:sz="0" w:space="0"/>
        </w:rPr>
        <w:t>电力工程施工总承包资质标准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000000"/>
          <w:spacing w:val="0"/>
          <w:sz w:val="24"/>
          <w:szCs w:val="24"/>
        </w:rPr>
      </w:pPr>
      <w:r>
        <w:rPr>
          <w:rStyle w:val="5"/>
          <w:rFonts w:hint="eastAsia" w:asciiTheme="minorEastAsia" w:hAnsiTheme="minorEastAsia" w:eastAsiaTheme="minorEastAsia" w:cstheme="minorEastAsia"/>
          <w:b w:val="0"/>
          <w:i w:val="0"/>
          <w:caps w:val="0"/>
          <w:color w:val="8C8C8C"/>
          <w:spacing w:val="0"/>
          <w:kern w:val="0"/>
          <w:sz w:val="24"/>
          <w:szCs w:val="24"/>
          <w:bdr w:val="none" w:color="auto" w:sz="0" w:space="0"/>
          <w:lang w:val="en-US" w:eastAsia="zh-CN" w:bidi="ar"/>
        </w:rPr>
        <w:t>2015-12-24</w:t>
      </w:r>
      <w:r>
        <w:rPr>
          <w:rFonts w:hint="eastAsia" w:asciiTheme="minorEastAsia" w:hAnsiTheme="minorEastAsia" w:eastAsiaTheme="minorEastAsia" w:cstheme="minorEastAsia"/>
          <w:b w:val="0"/>
          <w:i w:val="0"/>
          <w:caps w:val="0"/>
          <w:color w:val="000000"/>
          <w:spacing w:val="0"/>
          <w:kern w:val="0"/>
          <w:sz w:val="24"/>
          <w:szCs w:val="24"/>
          <w:bdr w:val="none" w:color="auto" w:sz="0" w:space="0"/>
          <w:lang w:val="en-US" w:eastAsia="zh-CN" w:bidi="ar"/>
        </w:rPr>
        <w:t> </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begin"/>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instrText xml:space="preserve"> HYPERLINK "http://mp.weixin.qq.com/javascript:void(0);" </w:instrTex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separate"/>
      </w:r>
      <w:r>
        <w:rPr>
          <w:rStyle w:val="6"/>
          <w:rFonts w:hint="eastAsia" w:asciiTheme="minorEastAsia" w:hAnsiTheme="minorEastAsia" w:eastAsiaTheme="minorEastAsia" w:cstheme="minorEastAsia"/>
          <w:b w:val="0"/>
          <w:i w:val="0"/>
          <w:caps w:val="0"/>
          <w:vanish/>
          <w:color w:val="607FA6"/>
          <w:spacing w:val="0"/>
          <w:sz w:val="24"/>
          <w:szCs w:val="24"/>
          <w:u w:val="none"/>
          <w:bdr w:val="none" w:color="auto" w:sz="0" w:space="0"/>
        </w:rPr>
        <w:t>名企人才网</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电力工程施工总承包资质分为特级、一级、二级、三级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bdr w:val="none" w:color="auto" w:sz="0" w:space="0"/>
        </w:rPr>
      </w:pPr>
      <w:r>
        <w:rPr>
          <w:rFonts w:hint="eastAsia" w:asciiTheme="minorEastAsia" w:hAnsiTheme="minorEastAsia" w:eastAsiaTheme="minorEastAsia" w:cstheme="minorEastAsia"/>
          <w:b w:val="0"/>
          <w:i w:val="0"/>
          <w:caps w:val="0"/>
          <w:color w:val="3E3E3E"/>
          <w:spacing w:val="0"/>
          <w:sz w:val="24"/>
          <w:szCs w:val="24"/>
          <w:bdr w:val="none" w:color="auto" w:sz="0" w:space="0"/>
        </w:rPr>
        <w:t>6.1一级资质标准</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6.1.1企业资产</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净资产1亿元以上。</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6.1.2企业主要人员</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（1）机电工程专业一级注册建造师不少于15人。</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（2）技术负责人具有10年以上从事工程施工技术管理工作经历，且具有电力工程相关专业高级职称；电力工程相关专业中级以上职称人员不少于60人。</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（3）持有岗位证书的施工现场管理人员不少于50人，且施工员、质量员、安全员、造价员、资料员等人员齐全。</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（4）经考核或培训合格的中级工以上技术工人不少于150人。</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6.1.3企业工程业绩</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近5年承担过下列5类中的2类工程的施工，工程质量合格。</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（1）累计电站装机容量180万千瓦以上；</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 xml:space="preserve">（2）单机容量20万千瓦机组累计6台； </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（3）220千伏送电线路累计600公里；</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（4）220千伏电压等级变电站累计8座；</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（5）220千伏电缆工程累计100公里。</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eastAsiaTheme="minorEastAsia" w:cstheme="minorEastAsia"/>
          <w:b w:val="0"/>
          <w:i w:val="0"/>
          <w:caps w:val="0"/>
          <w:color w:val="3E3E3E"/>
          <w:spacing w:val="0"/>
          <w:sz w:val="24"/>
          <w:szCs w:val="24"/>
          <w:bdr w:val="none" w:color="auto" w:sz="0" w:space="0"/>
        </w:rPr>
        <w:t>6.2二级资质标准</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6.2.1企业资产</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净资产4000万元以上。</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6.2.2企业主要人员</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（1）机电工程专业注册建造师不少于10人。</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（2）技术负责人具有8年以上从事工程施工技术管理工作经历，且具有电力工程相关专业高级职称或机电工程专业一级注册建造师执业资格；电力工程相关专业中级以上职称人员不少于30人。</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（3）持有岗位证书的施工现场管理人员不少于30人，且施工员、质量员、安全员、资料员等人员齐全。</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（4）经考核或培训合格的中级工以上技术工人不少于75人。</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6.2.3企业工程业绩</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近5年承担过下列5类中的2类工程的施工，工程质量合格。</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（1）累计电站装机容量100万千瓦以上；</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 xml:space="preserve">（2）单机容量10万千瓦机组累计4台； </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（3）110千伏送电线路累计700公里；</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（4）110千伏电压等级变电站累计7座；</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（5）110千伏电缆工程累计200公里。</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eastAsiaTheme="minorEastAsia" w:cstheme="minorEastAsia"/>
          <w:b w:val="0"/>
          <w:i w:val="0"/>
          <w:caps w:val="0"/>
          <w:color w:val="3E3E3E"/>
          <w:spacing w:val="0"/>
          <w:sz w:val="24"/>
          <w:szCs w:val="24"/>
          <w:bdr w:val="none" w:color="auto" w:sz="0" w:space="0"/>
        </w:rPr>
        <w:t>6.3三级资质标准</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6.3.1企业资产</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净资产800万元以上。</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6.3.2企业主要人员</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（1）机电工程专业注册建造师不少于5人。</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（2）技术负责人具有5年以上从事工程施工技术管理工作经历，且具有电力工程相关专业中级以上职称或机电工程专业注册建造师执业资格；电力工程相关专业中级以上职称人员不少于10人。</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（3）持有岗位证书的施工现场管理人员不少于15人，且施工员、质量员、安全员、资料员等人员齐全。</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（4）经考核或培训合格的中级工以上技术工人不少于30人。</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（5）技术负责人（或注册建造师）主持完成过本类别工程业绩不少于2项。</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eastAsiaTheme="minorEastAsia" w:cstheme="minorEastAsia"/>
          <w:b w:val="0"/>
          <w:i w:val="0"/>
          <w:caps w:val="0"/>
          <w:color w:val="3E3E3E"/>
          <w:spacing w:val="0"/>
          <w:sz w:val="24"/>
          <w:szCs w:val="24"/>
          <w:bdr w:val="none" w:color="auto" w:sz="0" w:space="0"/>
        </w:rPr>
        <w:t>6.4承包工程范围</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6.4.1一级资质</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可承担各类发电工程、各种电压等级送电线路和变电站工程的施工。</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6.4.2二级资质</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可承担单机容量20万千瓦以下发电工程、220千伏以下送电线路和相同电压等级变电站工程的施工。</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6.4.1三级资质</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可承担单机容量10万千瓦以下发电工程、110千伏以下送电线路和相同电压等级变电站工程的施工。</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注：</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1.电力工程是指与电能的生产、输送及分配有关的工程。包括火力发电、水力发电、核能发电、风电、太阳能及其它能源发电、输配电等工程及其配套工程。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2.电力工程相关专业职称包括热能动力工程、水能动力工程、核电工程、风电、太阳能及其它能源工程、输配电及用电工程、电力系统及其自动化等专业职称。</w:t>
      </w:r>
      <w:bookmarkStart w:id="0" w:name="_GoBack"/>
      <w:bookmarkEnd w:id="0"/>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BA4BD7"/>
    <w:rsid w:val="03BA4BD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2016-01-08T07:40:00Z</dcterms:created>
  <dc:creator>Administrator</dc:creator>
  <cp:lastModifiedBy>Administrator</cp:lastModifiedBy>
  <dcterms:modified xsi:type="dcterms:W3CDTF">2016-01-08T07:48:03Z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