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single" w:color="E7E7EB" w:sz="6" w:space="7"/>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bdr w:val="none" w:color="auto" w:sz="0" w:space="0"/>
        </w:rPr>
        <w:t>工程建设项目招标代理机构资格标准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i w:val="0"/>
          <w:color w:val="8C8C8C"/>
          <w:kern w:val="0"/>
          <w:sz w:val="24"/>
          <w:szCs w:val="24"/>
          <w:bdr w:val="none" w:color="auto" w:sz="0" w:space="0"/>
          <w:lang w:val="en-US" w:eastAsia="zh-CN" w:bidi="ar"/>
        </w:rPr>
        <w:t>2016-01-04</w:t>
      </w:r>
      <w:r>
        <w:rPr>
          <w:rFonts w:hint="eastAsia" w:asciiTheme="minorEastAsia" w:hAnsiTheme="minorEastAsia" w:eastAsiaTheme="minorEastAsia" w:cstheme="minorEastAsia"/>
          <w:kern w:val="0"/>
          <w:sz w:val="24"/>
          <w:szCs w:val="24"/>
          <w:bdr w:val="none" w:color="auto" w:sz="0" w:space="0"/>
          <w:lang w:val="en-US" w:eastAsia="zh-CN" w:bidi="ar"/>
        </w:rPr>
        <w:t> </w:t>
      </w:r>
      <w:r>
        <w:rPr>
          <w:rFonts w:hint="eastAsia" w:asciiTheme="minorEastAsia" w:hAnsiTheme="minorEastAsia" w:eastAsiaTheme="minorEastAsia" w:cstheme="minorEastAsia"/>
          <w:vanish/>
          <w:color w:val="607FA6"/>
          <w:kern w:val="0"/>
          <w:sz w:val="24"/>
          <w:szCs w:val="24"/>
          <w:u w:val="none"/>
          <w:bdr w:val="none" w:color="auto" w:sz="0" w:space="0"/>
          <w:lang w:val="en-US" w:eastAsia="zh-CN" w:bidi="ar"/>
        </w:rPr>
        <w:fldChar w:fldCharType="begin"/>
      </w:r>
      <w:r>
        <w:rPr>
          <w:rFonts w:hint="eastAsia" w:asciiTheme="minorEastAsia" w:hAnsiTheme="minorEastAsia" w:eastAsiaTheme="minorEastAsia" w:cstheme="minorEastAsia"/>
          <w:vanish/>
          <w:color w:val="607FA6"/>
          <w:kern w:val="0"/>
          <w:sz w:val="24"/>
          <w:szCs w:val="24"/>
          <w:u w:val="none"/>
          <w:bdr w:val="none" w:color="auto" w:sz="0" w:space="0"/>
          <w:lang w:val="en-US" w:eastAsia="zh-CN" w:bidi="ar"/>
        </w:rPr>
        <w:instrText xml:space="preserve"> HYPERLINK "http://mp.weixin.qq.com/javascript:void(0);" </w:instrText>
      </w:r>
      <w:r>
        <w:rPr>
          <w:rFonts w:hint="eastAsia" w:asciiTheme="minorEastAsia" w:hAnsiTheme="minorEastAsia" w:eastAsiaTheme="minorEastAsia" w:cstheme="minorEastAsia"/>
          <w:vanish/>
          <w:color w:val="607FA6"/>
          <w:kern w:val="0"/>
          <w:sz w:val="24"/>
          <w:szCs w:val="24"/>
          <w:u w:val="none"/>
          <w:bdr w:val="none" w:color="auto" w:sz="0" w:space="0"/>
          <w:lang w:val="en-US" w:eastAsia="zh-CN" w:bidi="ar"/>
        </w:rPr>
        <w:fldChar w:fldCharType="separate"/>
      </w:r>
      <w:r>
        <w:rPr>
          <w:rStyle w:val="6"/>
          <w:rFonts w:hint="eastAsia" w:asciiTheme="minorEastAsia" w:hAnsiTheme="minorEastAsia" w:eastAsiaTheme="minorEastAsia" w:cstheme="minorEastAsia"/>
          <w:vanish/>
          <w:color w:val="607FA6"/>
          <w:sz w:val="24"/>
          <w:szCs w:val="24"/>
          <w:u w:val="none"/>
          <w:bdr w:val="none" w:color="auto" w:sz="0" w:space="0"/>
        </w:rPr>
        <w:t>名企人才网</w:t>
      </w:r>
      <w:r>
        <w:rPr>
          <w:rFonts w:hint="eastAsia" w:asciiTheme="minorEastAsia" w:hAnsiTheme="minorEastAsia" w:eastAsiaTheme="minorEastAsia" w:cstheme="minorEastAsia"/>
          <w:vanish/>
          <w:color w:val="607FA6"/>
          <w:kern w:val="0"/>
          <w:sz w:val="24"/>
          <w:szCs w:val="24"/>
          <w:u w:val="none"/>
          <w:bdr w:val="none" w:color="auto" w:sz="0" w:space="0"/>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一、工程招标代理机构资格分为甲级、乙级和暂定级。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甲级工程招标代理机构可以承担各类工程的招标代理业务。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乙级工程招标代理机构只能承担工程总投资1亿元人民币以下的工程招标代理业务。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暂定级工程招标代理机构，只能承担工程总投资6000万元人民币以下的工程招标代理业务。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二、工程招标代理机构可以跨省、自治区、直辖市承担工程招标代理业务。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任何单位和个人不得限制或者排斥工程招标代理机构依法开展工程招标代理业务。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三、申请工程招标代理资格的机构应当具备下列条件：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（一）是依法设立的中介组织， 具有独立法人资格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（二）与行政机关和其他国家机关没有行政隶属关系或者其他利益关系；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（三）有固定的营业场所和开展工程招标代理业务所需设施及办公条件；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（四）有健全的组织机构和内部管理的规章制度；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（五）具备编制招标文件和组织评标的相应专业力量；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（六）具有可以作为评标委员会成员人选的技术、经济等方面的专家库；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（七）法律、行政法规规定的其它条件。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四、申请甲级工程招标代理资格的机构，除具备本办法第八条规定的条件外，还应当具备下列条件：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（一）取得乙级工程招标代理资格满3年；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（二）近3年内累计工程招标代理中标金额在16亿元人民币以上（以中标通知书为依据，下同）；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（三）具有中级以上职称的工程招标代理机构专职人员不少于20人，其中具有工程建设类注册执业资格人员不少于10人（其中注册造价工程师不少于5人），从事工程招标代理业务3年以上的人员不少于10人；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（四）技术经济负责人为本机构专职人员，具有10年以上从事工程管理的经验，具有高级技术经济职称和工程建设类注册执业资格；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（五）注册资本金不少于200万元。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五、申请乙级工程招标代理资格的机构，除具备本办法第八条规定的条件外，还应当具备下列条件：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（一） 取得暂定级工程招标代理资格满1年；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（二）近3年内累计工程招标代理中标金额在8亿元人民币以上；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（三）具有中级以上职称的工程招标代理机构专职人员不少于12人，其中具有工程建设类注册执业资格人员不少于6人（其中注册造价工程师不少于3人），从事工程招标代理业务3年以上的人员不少于6人；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（四）技术经济负责人为本机构专职人员，具有8年以上从事工程管理的经历，具有高级技术经济职称和工程建设类注册执业资格；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（五）注册资本金不少于100万元。</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color w:val="3E3E3E"/>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AA0D30"/>
    <w:rsid w:val="78AA0D3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2016-01-09T01:49:00Z</dcterms:created>
  <dc:creator>Administrator</dc:creator>
  <cp:lastModifiedBy>Administrator</cp:lastModifiedBy>
  <dcterms:modified xsi:type="dcterms:W3CDTF">2016-01-09T01:50:44Z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