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7E7EB" w:sz="6" w:space="7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000000"/>
          <w:spacing w:val="0"/>
          <w:sz w:val="28"/>
          <w:szCs w:val="28"/>
          <w:bdr w:val="none" w:color="auto" w:sz="0" w:space="0"/>
        </w:rPr>
        <w:t>古建筑工程专业承包资质标准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Theme="minorEastAsia" w:hAnsiTheme="minorEastAsia" w:eastAsiaTheme="minorEastAsia" w:cstheme="minorEastAsia"/>
          <w:b w:val="0"/>
          <w:i w:val="0"/>
          <w:caps w:val="0"/>
          <w:color w:val="8C8C8C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2015-12-25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"http://mp.weixin.qq.com/javascript:void(0);" </w:instrTex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sz w:val="24"/>
          <w:szCs w:val="24"/>
          <w:u w:val="none"/>
          <w:bdr w:val="none" w:color="auto" w:sz="0" w:space="0"/>
        </w:rPr>
        <w:t>名企人才网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vanish/>
          <w:color w:val="607FA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古建筑工程专业承包资质分为一级、二级、三级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26.1一级资质标准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26.1.1企业资产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26.1.2企业主要人员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）建筑工程专业一级注册建造师不少于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年以上从事工程施工技术管理工作经历，且具有工程序列高级职称；结构、风景园林等专业中级以上职称人员不少于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）经考核或培训合格的砧细工、木雕工、石雕工、砧刻工、泥塑工、彩绘工、推光漆工、匾额工、砌花街工等中级工以上技术工人不少于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26.1.3企业工程业绩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类或某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）单体建筑面积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600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平方米以上的仿古建筑工程；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）国家重点文物保护单位的主要古建筑修缮工程；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26.2二级资质标准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26.2.1企业资产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26.2.2企业主要人员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）建筑工程专业注册建造师不少于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年以上从事工程施工技术管理工作经历，且具有工程序列高级职称或建筑工程专业一级注册建造师执业资格；结构、风景园林等专业中级以上职称人员不少于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）经考核或培训合格的砧细工、木雕工、石雕工、砧刻工、泥塑工、彩绘工、推光漆工、匾额工、砌花街工等中级工以上技术工人不少于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26.2.3企业工程业绩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年承担过下列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类或某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项工程的施工，工程质量合格。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）单体建筑面积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平方米以上的仿古建筑工程；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）省级重点文物保护单位的主要古建筑修缮工程。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26.3三级资质标准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26.3.1企业资产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净资产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万元以上。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26.3.2企业主要人员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）建筑工程专业注册建造师不少于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）技术负责人具有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年以上从事工程施工技术管理工作经历，且具有工程序列中级以上职称或建筑工程专业注册建造师执业资格；结构、风景园林等专业中级以上职称不少于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人，且专业齐全。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）持有岗位证书的施工现场管理人员不少于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人，且施工员、质量员、安全员、材料员、资料员等人员齐全。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）经考核或培训合格的砧细工、木雕工、石雕工、砧刻工、泥塑工、彩绘工、推光漆工、匾额工、砌花街工等中级工以上技术工人不少于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人，且人员齐全。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5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）技术负责人（或注册建造师）主持完成过本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类别资质二级以上标准要求的工程业绩不少于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26.4承包工程范围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26.4.1一级资质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可承担各类仿古建筑、古建筑修缮工程的施工。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26.4.2二级资质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可承担建筑面积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800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平方米以下的单体仿古建筑工程，国家级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平方米以下重点文物保护单位的古建筑修缮工程的施工。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26.4.3三级资质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可承担建筑面积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400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平方米以下的单体仿古建筑工程，省级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100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平方米以下重点文物保护单位的古建筑修缮工程的施工。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注：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1.仿古建筑工程是指以传统结构为主（木结构、砖石结构）利用传统建筑材料（砖、木、石、土、瓦等）建造的房屋建筑工程、构筑物（含亭、台、塔等）工程，以及部分利用传统建筑材料建造的建筑工程。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2.古建筑修缮工程是指利用传统建筑材料和现代建筑材料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,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</w:rPr>
        <w:t>在特定范围内对古建筑的复原、加固及修补工程。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60217"/>
    <w:rsid w:val="0A06021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2016-01-08T08:51:00Z</dcterms:created>
  <dc:creator>Administrator</dc:creator>
  <cp:lastModifiedBy>Administrator</cp:lastModifiedBy>
  <dcterms:modified xsi:type="dcterms:W3CDTF">2016-01-08T08:53:46Z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